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862B" w14:textId="77777777" w:rsidR="00BB0BB8" w:rsidRDefault="00BB0BB8">
      <w:pPr>
        <w:jc w:val="center"/>
        <w:rPr>
          <w:rFonts w:ascii="Times New Roman" w:hAnsi="Times New Roman"/>
          <w:b/>
          <w:sz w:val="38"/>
          <w:szCs w:val="38"/>
        </w:rPr>
      </w:pPr>
    </w:p>
    <w:p w14:paraId="722BDABD" w14:textId="77777777" w:rsidR="00BB0BB8" w:rsidRDefault="00BB0BB8">
      <w:pPr>
        <w:jc w:val="center"/>
        <w:rPr>
          <w:rFonts w:ascii="Times New Roman" w:hAnsi="Times New Roman"/>
          <w:b/>
          <w:sz w:val="38"/>
          <w:szCs w:val="38"/>
        </w:rPr>
      </w:pPr>
    </w:p>
    <w:p w14:paraId="17736A91" w14:textId="77777777" w:rsidR="00BB0BB8" w:rsidRDefault="00BB0BB8">
      <w:pPr>
        <w:jc w:val="center"/>
        <w:rPr>
          <w:rFonts w:ascii="Times New Roman" w:hAnsi="Times New Roman"/>
          <w:b/>
          <w:sz w:val="38"/>
          <w:szCs w:val="38"/>
        </w:rPr>
      </w:pPr>
    </w:p>
    <w:p w14:paraId="41CBF15A" w14:textId="77777777" w:rsidR="00BB0BB8" w:rsidRDefault="00F83DAB">
      <w:pPr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Zpráva o výsledku přezkoumání hospodaření</w:t>
      </w:r>
    </w:p>
    <w:p w14:paraId="47F6D7C5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63C084BE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6BB1679B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0FE08572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336C1BB0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556F0E65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Podle zákona č. 93/2009 Sb., o auditorech a o změně některých zákonů, ve znění pozdějších předpisů, auditorského standardu č. 52, dalších relevantních předpisů vydaných Komorou auditorů České republiky, podle ustanovení § 42 zákona č. 128/2000 Sb., o obcích (obecní zřízení), ve znění pozdějších předpisů a podle ustanovení § 10 zákona č. 420/2004 Sb., o přezkoumávání hospodaření územních samosprávných celků a dobrovolných svazků obcí, ve znění pozdějších předpisů (dále jen zákon č. 420/2004 Sb.)</w:t>
      </w:r>
    </w:p>
    <w:p w14:paraId="20882245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219761EC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7945EB2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2201A2D7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33D0D338" w14:textId="77777777" w:rsidR="00BB0BB8" w:rsidRDefault="00F83D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 územní samosprávný celek</w:t>
      </w:r>
    </w:p>
    <w:p w14:paraId="6D43DF43" w14:textId="77777777" w:rsidR="00BB0BB8" w:rsidRDefault="00BB0BB8">
      <w:pPr>
        <w:jc w:val="center"/>
        <w:rPr>
          <w:rFonts w:ascii="Times New Roman" w:hAnsi="Times New Roman"/>
          <w:b/>
          <w:sz w:val="31"/>
          <w:szCs w:val="31"/>
        </w:rPr>
      </w:pPr>
    </w:p>
    <w:p w14:paraId="5FD8F7F6" w14:textId="77777777" w:rsidR="00BB0BB8" w:rsidRDefault="00BB0BB8">
      <w:pPr>
        <w:jc w:val="center"/>
        <w:rPr>
          <w:rFonts w:ascii="Times New Roman" w:hAnsi="Times New Roman"/>
          <w:b/>
          <w:sz w:val="31"/>
          <w:szCs w:val="31"/>
        </w:rPr>
      </w:pPr>
    </w:p>
    <w:p w14:paraId="21AD847E" w14:textId="77777777" w:rsidR="00BB0BB8" w:rsidRDefault="00F83DA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Obec Librantice</w:t>
      </w:r>
    </w:p>
    <w:p w14:paraId="18C08D5F" w14:textId="77777777" w:rsidR="00BB0BB8" w:rsidRDefault="00BB0BB8">
      <w:pPr>
        <w:jc w:val="both"/>
        <w:rPr>
          <w:rFonts w:ascii="Times New Roman" w:hAnsi="Times New Roman"/>
          <w:sz w:val="31"/>
          <w:szCs w:val="31"/>
        </w:rPr>
      </w:pPr>
    </w:p>
    <w:p w14:paraId="2DFC46CF" w14:textId="77777777" w:rsidR="00BB0BB8" w:rsidRDefault="00BB0BB8">
      <w:pPr>
        <w:jc w:val="both"/>
        <w:rPr>
          <w:rFonts w:ascii="Times New Roman" w:hAnsi="Times New Roman"/>
          <w:sz w:val="31"/>
          <w:szCs w:val="31"/>
        </w:rPr>
      </w:pPr>
    </w:p>
    <w:p w14:paraId="4235501C" w14:textId="77777777" w:rsidR="00BB0BB8" w:rsidRDefault="00BB0BB8">
      <w:pPr>
        <w:jc w:val="both"/>
        <w:rPr>
          <w:rFonts w:ascii="Times New Roman" w:hAnsi="Times New Roman"/>
          <w:sz w:val="31"/>
          <w:szCs w:val="31"/>
        </w:rPr>
      </w:pPr>
    </w:p>
    <w:p w14:paraId="124F2501" w14:textId="77777777" w:rsidR="00BB0BB8" w:rsidRDefault="00F83DA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 období od 1. 1. 2022 do 31. 12. 2022</w:t>
      </w:r>
    </w:p>
    <w:p w14:paraId="014B613F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3DE651C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5D9B7FE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C7461E4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27DC40C5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7AD9058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68876472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2D255982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0CE79FE1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2CED3170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228E6018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B093A5B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3C109365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62F35777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2C6F5EE7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7988242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0C9FC9C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1FECD653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5BE6E5F9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41167A9" w14:textId="77777777" w:rsidR="00BB0BB8" w:rsidRDefault="00F83DAB">
      <w:pPr>
        <w:pStyle w:val="Odstavecseseznamem"/>
        <w:numPr>
          <w:ilvl w:val="0"/>
          <w:numId w:val="11"/>
        </w:num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3"/>
          <w:szCs w:val="23"/>
        </w:rPr>
        <w:br w:type="page"/>
      </w:r>
      <w:r>
        <w:rPr>
          <w:rFonts w:ascii="Times New Roman" w:hAnsi="Times New Roman"/>
          <w:b/>
          <w:sz w:val="30"/>
          <w:szCs w:val="30"/>
        </w:rPr>
        <w:lastRenderedPageBreak/>
        <w:t>VŠEOBECNÉ INFORMACE</w:t>
      </w:r>
    </w:p>
    <w:p w14:paraId="6AC28EF1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4F29781" w14:textId="77777777" w:rsidR="00BB0BB8" w:rsidRDefault="00F83DAB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Statutární orgán územního samosprávného celku (dále jen „územní celek"):</w:t>
      </w:r>
    </w:p>
    <w:p w14:paraId="29AB158B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Jaroslav Volenec, starosta</w:t>
      </w:r>
    </w:p>
    <w:p w14:paraId="23663BA2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Obec Librantice</w:t>
      </w:r>
    </w:p>
    <w:p w14:paraId="240A69EE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Librantice 80</w:t>
      </w:r>
    </w:p>
    <w:p w14:paraId="3E8E8C27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503 46 Třebechovice pod Orebem</w:t>
      </w:r>
    </w:p>
    <w:p w14:paraId="7DA392F3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 45978140</w:t>
      </w:r>
    </w:p>
    <w:p w14:paraId="07496BDE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26BBD33B" w14:textId="77777777" w:rsidR="00BB0BB8" w:rsidRDefault="00F83DAB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Auditor:</w:t>
      </w:r>
    </w:p>
    <w:p w14:paraId="0EA33F06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c.k</w:t>
      </w:r>
      <w:proofErr w:type="spellEnd"/>
      <w:r>
        <w:rPr>
          <w:rFonts w:ascii="Times New Roman" w:hAnsi="Times New Roman"/>
          <w:sz w:val="22"/>
          <w:szCs w:val="22"/>
        </w:rPr>
        <w:t>. audit, s.r.o., osvědčení o zápisu číslo 392</w:t>
      </w:r>
    </w:p>
    <w:p w14:paraId="27B592B0" w14:textId="77777777" w:rsidR="00BB0BB8" w:rsidRDefault="00F83DAB">
      <w:pPr>
        <w:pStyle w:val="Zkladntext"/>
        <w:spacing w:after="0"/>
        <w:ind w:firstLine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společnost zapsaná do obchodního rejstříku, vedeného Krajským soudem v Hradci Králové, oddíl C, vložka 1927</w:t>
      </w:r>
    </w:p>
    <w:p w14:paraId="7BC924AE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auditor: Mgr. Ing. Dagmar </w:t>
      </w:r>
      <w:proofErr w:type="spellStart"/>
      <w:r>
        <w:rPr>
          <w:rFonts w:ascii="Times New Roman" w:hAnsi="Times New Roman"/>
          <w:sz w:val="22"/>
          <w:szCs w:val="22"/>
        </w:rPr>
        <w:t>Christophová</w:t>
      </w:r>
      <w:proofErr w:type="spellEnd"/>
      <w:r>
        <w:rPr>
          <w:rFonts w:ascii="Times New Roman" w:hAnsi="Times New Roman"/>
          <w:sz w:val="22"/>
          <w:szCs w:val="22"/>
        </w:rPr>
        <w:t>, osvědčení o zápisu číslo 1668</w:t>
      </w:r>
    </w:p>
    <w:p w14:paraId="6E9110A2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516 01 Rychnov nad Kněžnou, Komenského 41</w:t>
      </w:r>
    </w:p>
    <w:p w14:paraId="4E380692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IČO: 46504028</w:t>
      </w:r>
    </w:p>
    <w:p w14:paraId="5660E249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DIČ: CZ46504028</w:t>
      </w:r>
    </w:p>
    <w:p w14:paraId="5DD5DCCA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70841C27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Jména osob provádějících přezkoumání hospodaření územního celku:</w:t>
      </w:r>
    </w:p>
    <w:p w14:paraId="1738FE27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Mgr. Ing. Dagmar </w:t>
      </w:r>
      <w:proofErr w:type="spellStart"/>
      <w:r>
        <w:rPr>
          <w:rFonts w:ascii="Times New Roman" w:hAnsi="Times New Roman"/>
          <w:sz w:val="22"/>
          <w:szCs w:val="22"/>
        </w:rPr>
        <w:t>Christophová</w:t>
      </w:r>
      <w:proofErr w:type="spellEnd"/>
    </w:p>
    <w:p w14:paraId="007AECEC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06DFC98B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Další osoby podílející se na přezkoumání hospodaření územního celku:</w:t>
      </w:r>
    </w:p>
    <w:p w14:paraId="524388A0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Michaela Fišerová</w:t>
      </w:r>
    </w:p>
    <w:p w14:paraId="03DD5123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C7E4FD4" w14:textId="77777777" w:rsidR="00BB0BB8" w:rsidRDefault="00F83DAB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Vymezení pravomoci auditora k provedení přezkoumání hospodaření územního celku:</w:t>
      </w:r>
    </w:p>
    <w:p w14:paraId="74C966FB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Auditorská společnost provedla přezkoumání hospodaření územního celku Obec Librantice v souladu s ustanovením § 4 odst. 7 zákona č. 420/2004 Sb., ustanovením § 2 písm. c) zákona </w:t>
      </w:r>
      <w:r>
        <w:rPr>
          <w:rFonts w:ascii="Times New Roman" w:hAnsi="Times New Roman"/>
          <w:sz w:val="22"/>
          <w:szCs w:val="22"/>
        </w:rPr>
        <w:br/>
        <w:t>č. 93/2009 Sb., o auditorech a o změně některých zákonů, ve znění pozdějších předpisů.</w:t>
      </w:r>
    </w:p>
    <w:p w14:paraId="6D80ABC2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7C4A25FD" w14:textId="77777777" w:rsidR="00BB0BB8" w:rsidRDefault="00F83DAB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Místo přezkoumání:</w:t>
      </w:r>
    </w:p>
    <w:p w14:paraId="43A04622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sídlo územního celku, provozovny auditora</w:t>
      </w:r>
    </w:p>
    <w:p w14:paraId="76AF5D7D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40A28E21" w14:textId="77777777" w:rsidR="00BB0BB8" w:rsidRDefault="00F83DAB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Období, ve kterém bylo přezkoumání hospodaření Obce Librantice provedeno:</w:t>
      </w:r>
    </w:p>
    <w:p w14:paraId="37335C6F" w14:textId="77777777" w:rsidR="00BB0BB8" w:rsidRDefault="00F83DAB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Dílčí přezkoumání hospodaření proběhlo dne 20.12.2022, 22.1.2023 a 3.2.2023</w:t>
      </w:r>
    </w:p>
    <w:p w14:paraId="486DDD00" w14:textId="77777777" w:rsidR="00BB0BB8" w:rsidRDefault="00F83DAB">
      <w:pPr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Závěrečné přezkoumání proběhlo v období od 27.3.2023, 26.5.-29.5.2023</w:t>
      </w:r>
    </w:p>
    <w:p w14:paraId="39C41833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32E13625" w14:textId="77777777" w:rsidR="00BB0BB8" w:rsidRDefault="00F83DAB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Určení zahájení a ukončení přezkoumání hospodaření územního celku auditorskou společností:</w:t>
      </w:r>
    </w:p>
    <w:p w14:paraId="04E6E636" w14:textId="77777777" w:rsidR="00BB0BB8" w:rsidRDefault="00F83DAB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Označení první činnosti auditora, kterou byla ověřovací zakázka zahájena, a den provedení</w:t>
      </w:r>
    </w:p>
    <w:p w14:paraId="291A6502" w14:textId="77777777" w:rsidR="00BB0BB8" w:rsidRDefault="00F83DAB">
      <w:pPr>
        <w:pStyle w:val="Odstavecseseznamem"/>
        <w:numPr>
          <w:ilvl w:val="1"/>
          <w:numId w:val="20"/>
        </w:numPr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Zaslání požadavků na dokumenty k předložení při přezkoumání hospodaření – dne 2.11.2022</w:t>
      </w:r>
    </w:p>
    <w:p w14:paraId="74A1CAD3" w14:textId="77777777" w:rsidR="00BB0BB8" w:rsidRDefault="00F83DAB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Označení poslední činnosti auditora na ověřovací zakázce předcházející vyhotovení zprávy a den provedení</w:t>
      </w:r>
    </w:p>
    <w:p w14:paraId="7DEEFD54" w14:textId="77777777" w:rsidR="00BB0BB8" w:rsidRDefault="00F83DAB">
      <w:pPr>
        <w:pStyle w:val="Odstavecseseznamem"/>
        <w:numPr>
          <w:ilvl w:val="1"/>
          <w:numId w:val="2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2"/>
          <w:szCs w:val="22"/>
          <w:lang w:eastAsia="en-US"/>
        </w:rPr>
        <w:t>Podání předběžné informace o kontrolních zjištěních – dne 29.5.2023</w:t>
      </w:r>
    </w:p>
    <w:p w14:paraId="5479894F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55957709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62047E37" w14:textId="77777777" w:rsidR="00BB0BB8" w:rsidRDefault="00F83DAB">
      <w:pPr>
        <w:numPr>
          <w:ilvl w:val="0"/>
          <w:numId w:val="11"/>
        </w:num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PŘEDMĚT PŘEZKOUMÁNÍ HOSPODAŘENÍ</w:t>
      </w:r>
    </w:p>
    <w:p w14:paraId="616AFE09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60A09B59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Předmětem přezkoumání jsou podle ustanovení § 2 odst. 1 zákona č. 420/2004 Sb., údaje o ročním hospodaření, tvořící součást závěrečného účtu podle § 17 odst. 2 a 3 zákona č. 250/2000 Sb., o rozpočtových pravidlech územních rozpočtů, ve znění pozdějších předpisů, a to:</w:t>
      </w:r>
    </w:p>
    <w:p w14:paraId="0C749DBF" w14:textId="77777777" w:rsidR="00BB0BB8" w:rsidRDefault="00F83DA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plnění příjmů a výdajů rozpočtu včetně peněžních operací, týkajících se rozpočtových prostředků,</w:t>
      </w:r>
    </w:p>
    <w:p w14:paraId="70D457E3" w14:textId="77777777" w:rsidR="00BB0BB8" w:rsidRDefault="00F83DA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finanční operace, týkající se tvorby a použití peněžních fondů,</w:t>
      </w:r>
    </w:p>
    <w:p w14:paraId="1D3CA5D0" w14:textId="77777777" w:rsidR="00BB0BB8" w:rsidRDefault="00F83DA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náklady a výnosy podnikatelské činnosti územního celku,</w:t>
      </w:r>
    </w:p>
    <w:p w14:paraId="3AB1EA44" w14:textId="77777777" w:rsidR="00BB0BB8" w:rsidRDefault="00F83DA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peněžní operace, týkající se sdružených prostředků vynakládaných na základě smlouvy mezi dvěma nebo více územními celky, anebo na základě smlouvy s jinými právnickými nebo fyzickými osobami,</w:t>
      </w:r>
    </w:p>
    <w:p w14:paraId="5674F40A" w14:textId="77777777" w:rsidR="00BB0BB8" w:rsidRDefault="00F83DA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finanční operace, týkající se cizích zdrojů ve smyslu právních předpisů o účetnictví,</w:t>
      </w:r>
    </w:p>
    <w:p w14:paraId="5FC30C75" w14:textId="77777777" w:rsidR="00BB0BB8" w:rsidRDefault="00F83DA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hospodaření a nakládání s prostředky poskytnutými z Národního fondu a s dalšími prostředky ze zahraničí poskytnutými na základě mezinárodních smluv,</w:t>
      </w:r>
    </w:p>
    <w:p w14:paraId="58C1C2C3" w14:textId="77777777" w:rsidR="00BB0BB8" w:rsidRDefault="00F83DAB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vyúčtování a vypořádání finančních vztahů ke státnímu rozpočtu, k rozpočtům krajů, k rozpočtům obcí, k jiným rozpočtům, ke státním fondům a k dalším osobám.</w:t>
      </w:r>
    </w:p>
    <w:p w14:paraId="1C59A003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355C5F85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Předmětem přezkoumání v souladu s ustanovením § 2 odst. 2 zákona č. 420/2004 Sb. jsou dále oblasti:</w:t>
      </w:r>
    </w:p>
    <w:p w14:paraId="33C92F48" w14:textId="77777777" w:rsidR="00BB0BB8" w:rsidRDefault="00F83DA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nakládání a hospodaření s majetkem ve vlastnictví územního celku,</w:t>
      </w:r>
    </w:p>
    <w:p w14:paraId="4827BF50" w14:textId="77777777" w:rsidR="00BB0BB8" w:rsidRDefault="00F83DA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nakládání a hospodaření s majetkem státu, s nímž hospodaří územní celek,</w:t>
      </w:r>
    </w:p>
    <w:p w14:paraId="37E337F4" w14:textId="77777777" w:rsidR="00BB0BB8" w:rsidRDefault="00F83DA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zadávání a uskutečňování veřejných zakázek, s výjimkou úkonů a postupů přezkoumaných orgánem dohledu podle zákona č. 134/2016 Sb., o veřejných zakázkách, ve znění pozdějších předpisů,</w:t>
      </w:r>
    </w:p>
    <w:p w14:paraId="22E667F4" w14:textId="77777777" w:rsidR="00BB0BB8" w:rsidRDefault="00F83DA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stav pohledávek a závazků a nakládání s nimi,</w:t>
      </w:r>
    </w:p>
    <w:p w14:paraId="7C2ECD16" w14:textId="77777777" w:rsidR="00BB0BB8" w:rsidRDefault="00F83DA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ručení za závazky fyzických a právnických osob,</w:t>
      </w:r>
    </w:p>
    <w:p w14:paraId="2A7EAFD7" w14:textId="77777777" w:rsidR="00BB0BB8" w:rsidRDefault="00F83DA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zastavování movitých a nemovitých věcí ve prospěch třetích osob,</w:t>
      </w:r>
    </w:p>
    <w:p w14:paraId="592CA5D8" w14:textId="77777777" w:rsidR="00BB0BB8" w:rsidRDefault="00F83DA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zřizování věcných břemen k majetku územního celku,</w:t>
      </w:r>
    </w:p>
    <w:p w14:paraId="20E32809" w14:textId="77777777" w:rsidR="00BB0BB8" w:rsidRDefault="00F83DA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účetnictví vedené územním celkem,</w:t>
      </w:r>
    </w:p>
    <w:p w14:paraId="4583AF92" w14:textId="77777777" w:rsidR="00BB0BB8" w:rsidRDefault="00F83DAB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ověření poměru dluhu územního celku k průměru jeho příjmů za poslední 4 rozpočtované roky podle právního předpisu upravujícího rozpočtovou odpovědnost. </w:t>
      </w:r>
    </w:p>
    <w:p w14:paraId="67F346C2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7AEE6EB1" w14:textId="77777777" w:rsidR="00BB0BB8" w:rsidRDefault="00F83DAB">
      <w:pPr>
        <w:numPr>
          <w:ilvl w:val="0"/>
          <w:numId w:val="11"/>
        </w:num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HLEDISKA PŘEZKOUMÁNÍ HOSPODAŘENÍ</w:t>
      </w:r>
    </w:p>
    <w:p w14:paraId="281983EC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75E6C5E1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Předmět přezkoumání podle ustanovení § 3 zákona č. 420/2004 Sb. (viz bod II. této zprávy) se ověřuje z hlediska:</w:t>
      </w:r>
    </w:p>
    <w:p w14:paraId="31423E14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5544A20" w14:textId="77777777" w:rsidR="00BB0BB8" w:rsidRDefault="00F83DA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dodržování povinností stanovených zvláštními právními předpisy,</w:t>
      </w:r>
    </w:p>
    <w:p w14:paraId="1DAC84B2" w14:textId="77777777" w:rsidR="00BB0BB8" w:rsidRDefault="00F83DA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souladu hospodaření s finančními prostředky ve srovnání s rozpočtem,</w:t>
      </w:r>
    </w:p>
    <w:p w14:paraId="7E6B56AF" w14:textId="77777777" w:rsidR="00BB0BB8" w:rsidRDefault="00F83DA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dodržení účelu poskytnuté dotace nebo návratné finanční výpomoci a podmínek jejich použití,</w:t>
      </w:r>
    </w:p>
    <w:p w14:paraId="76E9765A" w14:textId="77777777" w:rsidR="00BB0BB8" w:rsidRDefault="00F83DAB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věcné a formální správnosti dokladů o přezkoumávaných operacích.</w:t>
      </w:r>
    </w:p>
    <w:p w14:paraId="756E416B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21D0A746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 předpisy použité při přezkoumání hospodaření pokrývající výše uvedená hlediska jsou uvedeny v příloze A, která je nedílnou součástí této zprávy.</w:t>
      </w:r>
    </w:p>
    <w:p w14:paraId="5CADF694" w14:textId="77777777" w:rsidR="00BB0BB8" w:rsidRDefault="00BB0BB8">
      <w:pPr>
        <w:jc w:val="both"/>
        <w:rPr>
          <w:rFonts w:ascii="Times New Roman" w:hAnsi="Times New Roman"/>
          <w:sz w:val="4"/>
          <w:szCs w:val="22"/>
        </w:rPr>
      </w:pPr>
    </w:p>
    <w:p w14:paraId="18D976EA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69B3BF1B" w14:textId="77777777" w:rsidR="00BB0BB8" w:rsidRDefault="00F83DAB">
      <w:pPr>
        <w:numPr>
          <w:ilvl w:val="0"/>
          <w:numId w:val="11"/>
        </w:num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DEFINOVÁNÍ ODPOVĚDNOSTÍ</w:t>
      </w:r>
    </w:p>
    <w:p w14:paraId="2FB74F51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266AAE78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hospodaření, které bylo předmětem přezkoumání a za jeho zobrazení v účetních a finančních výkazech, je odpovědný statutární orgán územního celku Obce Librantice.</w:t>
      </w:r>
    </w:p>
    <w:p w14:paraId="65B3F57A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43DD38E3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Naší úlohou je, na základě provedeného přezkoumání hospodaření, vydat zprávu o výsledku přezkoumání hospodaření. V souladu se zákonem o auditorech a Etickým kodexem přijatým Komorou auditorů České republiky jsme na územním celku nezávislí a splnili jsme i další etické povinnosti vyplývající z uvedených předpisů. Rovněž jsme splnili požadavky týkající se řízení kvality stanovené mezinárodním standardem pro řízení kvality ISQM 1.</w:t>
      </w:r>
    </w:p>
    <w:p w14:paraId="18DC4811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5C5615B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Přezkoumání hospodaření jsme provedli v souladu se zákonem č. 93/2009 Sb., o auditorech a o změně některých zákonů, ve znění pozdějších předpisů, auditorským standardem č. 52 a dalšími relevantními předpisy vydanými Komorou auditorů České republiky a s ustanoveními § 2, 3 a 10 zákona </w:t>
      </w:r>
      <w:r>
        <w:rPr>
          <w:rFonts w:ascii="Times New Roman" w:hAnsi="Times New Roman"/>
          <w:sz w:val="22"/>
          <w:szCs w:val="22"/>
        </w:rPr>
        <w:br/>
        <w:t>č. 420/2004 Sb. V souladu s těmito předpisy jsme povinni dodržovat etické normy a naplánovat a provést přezkoumání hospodaření tak, abychom získali omezenou jistotu, zda hospodaření územního celku Obec Librantice je v souladu s hledisky přezkoumání hospodaření (viz bod III. této zprávy).</w:t>
      </w:r>
    </w:p>
    <w:p w14:paraId="1034CE35" w14:textId="77777777" w:rsidR="00BB0BB8" w:rsidRDefault="00F83DAB">
      <w:pPr>
        <w:numPr>
          <w:ilvl w:val="0"/>
          <w:numId w:val="11"/>
        </w:num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RÁMCOVÝ ROZSAH PRACÍ</w:t>
      </w:r>
    </w:p>
    <w:p w14:paraId="54D77B2E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699D68D4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účelem vykonání přezkoumání hospodaření územního celku a vyjádření závěru zprávy o výsledku přezkoumání hospodaření byly použity postupy ke shromáždění dostatečných a vhodných důkazních informací. Tyto postupy se svým charakterem a načasováním liší od postupů prováděných u zakázky poskytující přiměřenou jistotu a mají menší rozsah a jsou auditorem aplikovány na základě jeho odborného úsudku včetně vyhodnocení oblastí, v nichž je u předmětu přezkoumání hospodaření pravděpodobný výskyt významných (materiálních) chyb a nedostatků. Při vyhodnocování těchto oblastí auditor bere v úvahu vnitřní kontrolní systém územního celku. Použité postupy zahrnují výběrový způsob šetření a významnost (</w:t>
      </w:r>
      <w:proofErr w:type="spellStart"/>
      <w:r>
        <w:rPr>
          <w:rFonts w:ascii="Times New Roman" w:hAnsi="Times New Roman"/>
          <w:sz w:val="22"/>
          <w:szCs w:val="22"/>
        </w:rPr>
        <w:t>materialitu</w:t>
      </w:r>
      <w:proofErr w:type="spellEnd"/>
      <w:r>
        <w:rPr>
          <w:rFonts w:ascii="Times New Roman" w:hAnsi="Times New Roman"/>
          <w:sz w:val="22"/>
          <w:szCs w:val="22"/>
        </w:rPr>
        <w:t xml:space="preserve">) jednotlivých skutečností. Míra jistoty získaná </w:t>
      </w:r>
      <w:r>
        <w:rPr>
          <w:rFonts w:ascii="Times New Roman" w:hAnsi="Times New Roman"/>
          <w:sz w:val="22"/>
          <w:szCs w:val="22"/>
        </w:rPr>
        <w:br/>
        <w:t>u přezkoumání hospodaření je tudíž významně nižší než jistota, která by byla získána provedením zakázky poskytující přiměřenou jistotu.</w:t>
      </w:r>
    </w:p>
    <w:p w14:paraId="56CB740A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62F9A78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Označení všech dokladů a jiných materiálů využitých při přezkoumání hospodaření územního celku je uvedeno v samostatné příloze D, která je nedílnou součástí této zprávy. V rámci přezkoumání hospodaření územního celku činil auditor i další kroky a využíval i další informace, které nejsou součástí tohoto označení.</w:t>
      </w:r>
    </w:p>
    <w:p w14:paraId="7B45CA94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3F797991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3239756F" w14:textId="77777777" w:rsidR="00BB0BB8" w:rsidRDefault="00F83DAB">
      <w:pPr>
        <w:numPr>
          <w:ilvl w:val="0"/>
          <w:numId w:val="11"/>
        </w:num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ZÁVĚR ZPRÁVY O VÝSLEDKU PŘEZKOUMÁNÍ</w:t>
      </w:r>
      <w:r>
        <w:rPr>
          <w:rFonts w:ascii="Times New Roman" w:hAnsi="Times New Roman"/>
          <w:b/>
          <w:sz w:val="31"/>
          <w:szCs w:val="31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HOSPODAŘENÍ</w:t>
      </w:r>
    </w:p>
    <w:p w14:paraId="615B0148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7B4D1ED0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58A414D6" w14:textId="77777777" w:rsidR="00BB0BB8" w:rsidRDefault="00F83DAB">
      <w:pPr>
        <w:numPr>
          <w:ilvl w:val="1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Vyjádření k souladu hospodaření s hledisky přezkoumání hospodaření</w:t>
      </w:r>
    </w:p>
    <w:p w14:paraId="29C03893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E472948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základě námi provedeného přezkoumání hospodaření územního celku Obec Librantice jsme zjistili skutečnosti, které nás vedly k přesvědčení, že přezkoumávané hospodaření není ve všech významných (materiálních) ohledech v souladu s hledisky přezkoumání hospodaření uvedenými </w:t>
      </w:r>
      <w:r>
        <w:rPr>
          <w:rFonts w:ascii="Times New Roman" w:hAnsi="Times New Roman"/>
          <w:sz w:val="22"/>
          <w:szCs w:val="22"/>
        </w:rPr>
        <w:br/>
        <w:t>v bodě III. této zprávy.</w:t>
      </w:r>
    </w:p>
    <w:p w14:paraId="1B078CBF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0BAF29D9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9E50E9F" w14:textId="77777777" w:rsidR="00BB0BB8" w:rsidRDefault="00F83DAB">
      <w:pPr>
        <w:numPr>
          <w:ilvl w:val="1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Vyjádření ohledně chyb a nedostatků</w:t>
      </w:r>
    </w:p>
    <w:p w14:paraId="436ECAB8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0C63D056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Zákon č. 420/2004 Sb., o přezkoumávání hospodaření územních samosprávných celků a dobrovolných svazků obcí, ve znění pozdějších předpisů, stanoví, abychom ve zprávě uvedli závěr podle ustanovení § 10 odst. 2 písm. d) a odst. 3 citovaného zákona. Toto ustanovení vyžaduje, abychom ve své zprávě o výsledku přezkoumání hospodaření uvedli, zda při přezkoumání hospodaření byly zjištěny chyby a nedostatky a v čem případně spočívaly, a to bez ohledu na jejich významnost (</w:t>
      </w:r>
      <w:proofErr w:type="spellStart"/>
      <w:r>
        <w:rPr>
          <w:rFonts w:ascii="Times New Roman" w:hAnsi="Times New Roman"/>
          <w:sz w:val="22"/>
          <w:szCs w:val="22"/>
        </w:rPr>
        <w:t>materialitu</w:t>
      </w:r>
      <w:proofErr w:type="spellEnd"/>
      <w:r>
        <w:rPr>
          <w:rFonts w:ascii="Times New Roman" w:hAnsi="Times New Roman"/>
          <w:sz w:val="22"/>
          <w:szCs w:val="22"/>
        </w:rPr>
        <w:t>) a jejich vztah k hospodaření územního celku jako celku.</w:t>
      </w:r>
    </w:p>
    <w:p w14:paraId="6C3C1E66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96720DF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Při přezkoumání hospodaření územního celku Obec Librantice za rok 2022 jsme nezjistili žádné chyby a nedostatky. Ani při minulém přezkoumání nebyly zjištěny žádné chyby a nedostatky a nebylo tedy nutné přijímat opatření k nápravě při hospodaření za rok 2022.</w:t>
      </w:r>
    </w:p>
    <w:p w14:paraId="6464E18D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0D2DD690" w14:textId="77777777" w:rsidR="00BB0BB8" w:rsidRDefault="00F83DAB">
      <w:pPr>
        <w:pStyle w:val="Zkladntextodsazen"/>
        <w:jc w:val="both"/>
        <w:rPr>
          <w:sz w:val="22"/>
        </w:rPr>
      </w:pPr>
      <w:r>
        <w:rPr>
          <w:sz w:val="22"/>
        </w:rPr>
        <w:t xml:space="preserve">Chyby a nedostatky zjištěné při dílčích přezkoumáních v průběhu roku 2022 byly územním celkem k 31.12.2022 odstraněny </w:t>
      </w:r>
      <w:r>
        <w:rPr>
          <w:sz w:val="22"/>
          <w:lang w:eastAsia="en-US"/>
        </w:rPr>
        <w:t>a nebyly identifikovány jako rizikové</w:t>
      </w:r>
      <w:r>
        <w:rPr>
          <w:sz w:val="22"/>
        </w:rPr>
        <w:t xml:space="preserve">.  </w:t>
      </w:r>
    </w:p>
    <w:p w14:paraId="328CFADA" w14:textId="77777777" w:rsidR="00BB0BB8" w:rsidRDefault="00BB0BB8">
      <w:pPr>
        <w:pStyle w:val="Zkladntextodsazen"/>
        <w:jc w:val="both"/>
        <w:rPr>
          <w:sz w:val="22"/>
        </w:rPr>
      </w:pPr>
    </w:p>
    <w:p w14:paraId="65803AEF" w14:textId="77777777" w:rsidR="00BB0BB8" w:rsidRDefault="00F83DAB">
      <w:pPr>
        <w:numPr>
          <w:ilvl w:val="1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Upozornění na případná rizika</w:t>
      </w:r>
    </w:p>
    <w:p w14:paraId="0361D671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B6C6AF1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základě zjištění podle ustanovení § 10 odst. 2 písm. b) zákona č. 420/2004 Sb., o přezkoumávání hospodaření územních samosprávných celků a dobrovolných svazků obcí, ve znění pozdějších předpisů, upozorňujeme na následující případná rizika, která mohou mít negativní dopad na hospodaření územního celku v budoucnosti:</w:t>
      </w:r>
    </w:p>
    <w:p w14:paraId="694F7ABC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292480AC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Rizika nebyla identifikována.</w:t>
      </w:r>
    </w:p>
    <w:p w14:paraId="7869226B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745A5E33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49DCCA21" w14:textId="77777777" w:rsidR="00BB0BB8" w:rsidRDefault="00F83DAB">
      <w:pPr>
        <w:numPr>
          <w:ilvl w:val="1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Podíl pohledávek a závazků na rozpočtu územního celku a podíl zastaveného majetku na celkovém majetku územního celku</w:t>
      </w:r>
    </w:p>
    <w:p w14:paraId="36433AB7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C305971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tbl>
      <w:tblPr>
        <w:tblW w:w="99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9"/>
        <w:gridCol w:w="5026"/>
        <w:gridCol w:w="2827"/>
      </w:tblGrid>
      <w:tr w:rsidR="00BB0BB8" w14:paraId="4E4CA39E" w14:textId="77777777">
        <w:tc>
          <w:tcPr>
            <w:tcW w:w="9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3185" w14:textId="77777777" w:rsidR="00BB0BB8" w:rsidRDefault="00F83D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Podíl pohledávek na rozpočtu</w:t>
            </w:r>
          </w:p>
        </w:tc>
      </w:tr>
      <w:tr w:rsidR="00BB0BB8" w14:paraId="55254A50" w14:textId="77777777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B83E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062E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Vymezení pohledávek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DCA9" w14:textId="77777777" w:rsidR="00BB0BB8" w:rsidRDefault="00F83DA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7.223 Kč</w:t>
            </w:r>
          </w:p>
        </w:tc>
      </w:tr>
      <w:tr w:rsidR="00BB0BB8" w14:paraId="7264B7C7" w14:textId="77777777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AFEA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571C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Vymezení rozpočtových příjmů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A25D" w14:textId="77777777" w:rsidR="00BB0BB8" w:rsidRDefault="00F83DA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15.844.361 Kč</w:t>
            </w:r>
          </w:p>
        </w:tc>
      </w:tr>
      <w:tr w:rsidR="00BB0BB8" w14:paraId="2B9BFC7A" w14:textId="77777777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4003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/ B * 100 %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6A2A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Výpočet podílu pohledávek na rozpočtu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9425" w14:textId="77777777" w:rsidR="00BB0BB8" w:rsidRDefault="00F83DA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0,05 %</w:t>
            </w:r>
          </w:p>
        </w:tc>
      </w:tr>
    </w:tbl>
    <w:p w14:paraId="1A318E2B" w14:textId="77777777" w:rsidR="00BB0BB8" w:rsidRDefault="00F83DA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Dlouhodobé pohledávky k 31. 12. 2022 územní celek nevykazuje.</w:t>
      </w:r>
    </w:p>
    <w:p w14:paraId="7A27C3C9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628EF0C0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tbl>
      <w:tblPr>
        <w:tblW w:w="99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9"/>
        <w:gridCol w:w="5026"/>
        <w:gridCol w:w="2827"/>
      </w:tblGrid>
      <w:tr w:rsidR="00BB0BB8" w14:paraId="2354825A" w14:textId="77777777">
        <w:tc>
          <w:tcPr>
            <w:tcW w:w="9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E3F9" w14:textId="77777777" w:rsidR="00BB0BB8" w:rsidRDefault="00F83D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Podíl závazků na rozpočtu</w:t>
            </w:r>
          </w:p>
        </w:tc>
      </w:tr>
      <w:tr w:rsidR="00BB0BB8" w14:paraId="43561E6D" w14:textId="77777777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87B1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8B3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Vymezení závazků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5E57" w14:textId="77777777" w:rsidR="00BB0BB8" w:rsidRDefault="00F83DA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307.687 Kč</w:t>
            </w:r>
          </w:p>
        </w:tc>
      </w:tr>
      <w:tr w:rsidR="00BB0BB8" w14:paraId="0E8A7217" w14:textId="77777777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7E0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F2C5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Vymezení rozpočtových příjmů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339B" w14:textId="77777777" w:rsidR="00BB0BB8" w:rsidRDefault="00F83DA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15.844.361 Kč</w:t>
            </w:r>
          </w:p>
        </w:tc>
      </w:tr>
      <w:tr w:rsidR="00BB0BB8" w14:paraId="1B5F1C63" w14:textId="77777777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9958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 / B * 100 %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BFA1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Výpočet podílu závazků na rozpočtu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444E" w14:textId="77777777" w:rsidR="00BB0BB8" w:rsidRDefault="00F83DA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1,94 %</w:t>
            </w:r>
          </w:p>
        </w:tc>
      </w:tr>
    </w:tbl>
    <w:p w14:paraId="2AD0B059" w14:textId="77777777" w:rsidR="00BB0BB8" w:rsidRDefault="00F83DA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Dlouhodobé závazky k 31. 12. 2022 územní celek nevykazuje.</w:t>
      </w:r>
    </w:p>
    <w:p w14:paraId="230A1605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54FB8B2E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tbl>
      <w:tblPr>
        <w:tblW w:w="99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9"/>
        <w:gridCol w:w="5026"/>
        <w:gridCol w:w="2827"/>
      </w:tblGrid>
      <w:tr w:rsidR="00BB0BB8" w14:paraId="03E1C8F4" w14:textId="77777777">
        <w:tc>
          <w:tcPr>
            <w:tcW w:w="9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3F3C" w14:textId="77777777" w:rsidR="00BB0BB8" w:rsidRDefault="00F83D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Podíl zastaveného majetku na celkovém majetku</w:t>
            </w:r>
          </w:p>
        </w:tc>
      </w:tr>
      <w:tr w:rsidR="00BB0BB8" w14:paraId="7D95F23F" w14:textId="77777777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D830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6EF9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Vymezení zastaveného majetku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0F83" w14:textId="77777777" w:rsidR="00BB0BB8" w:rsidRDefault="00F83DA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Kč</w:t>
            </w:r>
          </w:p>
        </w:tc>
      </w:tr>
      <w:tr w:rsidR="00BB0BB8" w14:paraId="0FBE6A16" w14:textId="77777777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5D09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0FBE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Vymezení majetku pro výpočet ukazatele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AE09" w14:textId="77777777" w:rsidR="00BB0BB8" w:rsidRDefault="00F83DA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129.846.571 Kč</w:t>
            </w:r>
          </w:p>
        </w:tc>
      </w:tr>
      <w:tr w:rsidR="00BB0BB8" w14:paraId="3EBD525B" w14:textId="77777777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872A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 / E * 100 %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2070" w14:textId="77777777" w:rsidR="00BB0BB8" w:rsidRDefault="00F83D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Výpočet podílu zastaveného majetku na celkovém majetku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3BC9" w14:textId="77777777" w:rsidR="00BB0BB8" w:rsidRDefault="00F83DA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0 %</w:t>
            </w:r>
          </w:p>
        </w:tc>
      </w:tr>
    </w:tbl>
    <w:p w14:paraId="000D39B7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166BCDFE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40CA38B4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28EE3810" w14:textId="77777777" w:rsidR="00BB0BB8" w:rsidRDefault="00F83DAB">
      <w:pPr>
        <w:ind w:left="851" w:hanging="284"/>
        <w:jc w:val="both"/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</w:rPr>
        <w:t>E. Vyjádření k poměru dluhu územního celku k poměru jeho příjmů za poslední čtyři rozpočtové roky podle právního předpisu upravujícího rozpočtovou odpovědnost</w:t>
      </w:r>
    </w:p>
    <w:p w14:paraId="55E989F0" w14:textId="77777777" w:rsidR="00BB0BB8" w:rsidRDefault="00BB0BB8">
      <w:pPr>
        <w:ind w:left="851" w:hanging="284"/>
        <w:jc w:val="both"/>
        <w:rPr>
          <w:rFonts w:ascii="Times New Roman" w:hAnsi="Times New Roman"/>
          <w:b/>
          <w:szCs w:val="23"/>
        </w:rPr>
      </w:pPr>
    </w:p>
    <w:p w14:paraId="7B5DAB01" w14:textId="77777777" w:rsidR="00BB0BB8" w:rsidRDefault="00BB0BB8">
      <w:pPr>
        <w:jc w:val="both"/>
        <w:rPr>
          <w:rFonts w:ascii="Times New Roman" w:hAnsi="Times New Roman"/>
          <w:sz w:val="22"/>
          <w:szCs w:val="23"/>
        </w:rPr>
      </w:pPr>
    </w:p>
    <w:p w14:paraId="53763801" w14:textId="77777777" w:rsidR="00BB0BB8" w:rsidRDefault="00F83DAB">
      <w:pPr>
        <w:pStyle w:val="Zkladntextodsazen"/>
        <w:jc w:val="both"/>
        <w:rPr>
          <w:sz w:val="22"/>
        </w:rPr>
      </w:pPr>
      <w:r>
        <w:rPr>
          <w:sz w:val="22"/>
        </w:rPr>
        <w:t xml:space="preserve">Zákon č. 420/2004 Sb. stanoví, abychom v naší zprávě uvedli výrok (vyjádření) o tom, že dluh územního celku nepřekročil 60 % průměru jeho příjmů za poslední čtyři rozpočtové roky. V opačném případě jsme povinni uvést, o kolik dluh územního celku překročil průměr jeho příjmů. </w:t>
      </w:r>
    </w:p>
    <w:p w14:paraId="794F54E7" w14:textId="77777777" w:rsidR="00BB0BB8" w:rsidRDefault="00BB0BB8">
      <w:pPr>
        <w:jc w:val="both"/>
        <w:rPr>
          <w:rFonts w:ascii="Times New Roman" w:hAnsi="Times New Roman"/>
          <w:sz w:val="22"/>
          <w:szCs w:val="23"/>
        </w:rPr>
      </w:pPr>
    </w:p>
    <w:p w14:paraId="73791A40" w14:textId="77777777" w:rsidR="00BB0BB8" w:rsidRDefault="00BB0BB8">
      <w:pPr>
        <w:jc w:val="both"/>
        <w:rPr>
          <w:rFonts w:ascii="Times New Roman" w:hAnsi="Times New Roman"/>
          <w:sz w:val="22"/>
          <w:szCs w:val="23"/>
        </w:rPr>
      </w:pPr>
    </w:p>
    <w:p w14:paraId="07F0FEAB" w14:textId="77777777" w:rsidR="00BB0BB8" w:rsidRDefault="00F83DAB">
      <w:pPr>
        <w:jc w:val="both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Dluh územního celku nepřekročil 60 % průměru jeho příjmů za poslední čtyři rozpočtové roky. </w:t>
      </w:r>
    </w:p>
    <w:p w14:paraId="43668B83" w14:textId="77777777" w:rsidR="00BB0BB8" w:rsidRDefault="00BB0BB8">
      <w:pPr>
        <w:jc w:val="both"/>
        <w:rPr>
          <w:rFonts w:ascii="Times New Roman" w:hAnsi="Times New Roman"/>
          <w:b/>
          <w:szCs w:val="23"/>
        </w:rPr>
      </w:pPr>
    </w:p>
    <w:p w14:paraId="5002EC91" w14:textId="77777777" w:rsidR="00BB0BB8" w:rsidRDefault="00BB0BB8">
      <w:pPr>
        <w:jc w:val="both"/>
        <w:rPr>
          <w:rFonts w:ascii="Times New Roman" w:hAnsi="Times New Roman"/>
          <w:b/>
          <w:szCs w:val="23"/>
        </w:rPr>
      </w:pPr>
    </w:p>
    <w:p w14:paraId="1B3A5790" w14:textId="77777777" w:rsidR="00BB0BB8" w:rsidRDefault="00BB0BB8">
      <w:pPr>
        <w:jc w:val="both"/>
        <w:rPr>
          <w:rFonts w:ascii="Times New Roman" w:hAnsi="Times New Roman"/>
          <w:b/>
          <w:szCs w:val="23"/>
        </w:rPr>
      </w:pPr>
    </w:p>
    <w:p w14:paraId="283DDD78" w14:textId="77777777" w:rsidR="00BB0BB8" w:rsidRDefault="00F83DAB">
      <w:pPr>
        <w:numPr>
          <w:ilvl w:val="0"/>
          <w:numId w:val="11"/>
        </w:num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DALŠÍ INFORMACE</w:t>
      </w:r>
    </w:p>
    <w:p w14:paraId="68661A3C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3009613D" w14:textId="77777777" w:rsidR="00BB0BB8" w:rsidRDefault="00F83D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Stanovisko územního celku k návrhu zprávy o výsledku přezkoumání hospodaření</w:t>
      </w:r>
    </w:p>
    <w:p w14:paraId="72E43B25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38BE006A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Přílohou této zprávy o výsledcích přezkoumání hospodaření je, v souladu s ustanovením § 7 písm. c) zákona č. 420/2004 Sb., i písemné stanovisko obce k návrhu zprávy o výsledku přezkoumání hospodaření.</w:t>
      </w:r>
    </w:p>
    <w:p w14:paraId="6C22B3A7" w14:textId="77777777" w:rsidR="00BB0BB8" w:rsidRDefault="00BB0BB8">
      <w:pPr>
        <w:jc w:val="both"/>
        <w:rPr>
          <w:rFonts w:ascii="Times New Roman" w:hAnsi="Times New Roman"/>
          <w:b/>
          <w:sz w:val="22"/>
          <w:szCs w:val="22"/>
        </w:rPr>
      </w:pPr>
    </w:p>
    <w:p w14:paraId="0A530302" w14:textId="77777777" w:rsidR="00BB0BB8" w:rsidRDefault="00F83DAB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Jiná skutečnost</w:t>
      </w:r>
    </w:p>
    <w:p w14:paraId="2DA72896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00CCD990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Aniž bychom modifikovali závěr zprávy o výsledku přezkoumání hospodaření, považujeme za důležité upozornit na následující skutečnosti:</w:t>
      </w:r>
    </w:p>
    <w:p w14:paraId="4DC31F56" w14:textId="77777777" w:rsidR="00BB0BB8" w:rsidRDefault="00BB0BB8">
      <w:pPr>
        <w:jc w:val="both"/>
        <w:rPr>
          <w:rFonts w:ascii="Times New Roman" w:hAnsi="Times New Roman"/>
          <w:b/>
          <w:sz w:val="22"/>
          <w:szCs w:val="22"/>
        </w:rPr>
      </w:pPr>
    </w:p>
    <w:p w14:paraId="5195FEA8" w14:textId="77777777" w:rsidR="00BB0BB8" w:rsidRDefault="00F83DAB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Obec Librantice vlastní 8.224 ks akcií společnosti Vodovody a kanalizace Hradec Králové, a.s., IČ 48172898. Její podíl na celkovém počtu akcií činí 0,40 %. Z údajů vlastního kapitálu k 31. 12. 2021 a celkového počtu akcií společnosti VAK Hradec Králové, a.s. byla určena hodnota 1 akcie, a to ve výši 2.103,50 Kč (vlastní kapitál 4.289.995 tis. Kč, počet akcií 2.039.457 ks). Tato hodnota byla vynásobena počtem akcií, které vlastní obec. O výsledné částce 17.299.172,71 Kč (resp. rozdílu ve výši 9.877.620,34 Kč mezi přeceněnou výší a původní cenou) se z důvodu opatrnosti neúčtovalo, tj. akcie jsou v rozvaze zobrazeny v původní pořizovací ceně.</w:t>
      </w:r>
    </w:p>
    <w:p w14:paraId="0257653A" w14:textId="77777777" w:rsidR="00BB0BB8" w:rsidRDefault="00BB0BB8">
      <w:pPr>
        <w:widowControl/>
        <w:ind w:left="420"/>
        <w:jc w:val="both"/>
        <w:rPr>
          <w:rFonts w:ascii="Times New Roman" w:hAnsi="Times New Roman"/>
          <w:b/>
          <w:sz w:val="22"/>
          <w:szCs w:val="22"/>
        </w:rPr>
      </w:pPr>
    </w:p>
    <w:p w14:paraId="6DD30EA6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4E5F96E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Vyhotoveno dne 30.5.2023</w:t>
      </w:r>
    </w:p>
    <w:p w14:paraId="159EDCEF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0A8E8CDA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19BE3A60" w14:textId="77777777" w:rsidR="00BB0BB8" w:rsidRDefault="00F83DAB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Auditorská společnost: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Odpovědný auditor: </w:t>
      </w:r>
    </w:p>
    <w:p w14:paraId="31D22AAD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c.k</w:t>
      </w:r>
      <w:proofErr w:type="spellEnd"/>
      <w:r>
        <w:rPr>
          <w:rFonts w:ascii="Times New Roman" w:hAnsi="Times New Roman"/>
          <w:sz w:val="22"/>
          <w:szCs w:val="22"/>
        </w:rPr>
        <w:t>. audit, s.r.o.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Mgr. Ing. Dagmar </w:t>
      </w:r>
      <w:proofErr w:type="spellStart"/>
      <w:r>
        <w:rPr>
          <w:rFonts w:ascii="Times New Roman" w:hAnsi="Times New Roman"/>
          <w:sz w:val="22"/>
          <w:szCs w:val="22"/>
        </w:rPr>
        <w:t>Christophová</w:t>
      </w:r>
      <w:proofErr w:type="spellEnd"/>
    </w:p>
    <w:p w14:paraId="66BBF25B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osvědčení o zápisu číslo 392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osvědčení o zápisu číslo 1668</w:t>
      </w:r>
    </w:p>
    <w:p w14:paraId="534D8026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Komenského 41</w:t>
      </w:r>
    </w:p>
    <w:p w14:paraId="5F3A0BA4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516 01 Rychnov nad Kněžnou</w:t>
      </w:r>
    </w:p>
    <w:p w14:paraId="50DD8A9D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E1B826C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zastoupená:</w:t>
      </w:r>
    </w:p>
    <w:p w14:paraId="60675DD2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Mgr. Ing. Dagmar </w:t>
      </w:r>
      <w:proofErr w:type="spellStart"/>
      <w:r>
        <w:rPr>
          <w:rFonts w:ascii="Times New Roman" w:hAnsi="Times New Roman"/>
          <w:sz w:val="22"/>
          <w:szCs w:val="22"/>
        </w:rPr>
        <w:t>Christophová</w:t>
      </w:r>
      <w:proofErr w:type="spellEnd"/>
    </w:p>
    <w:p w14:paraId="78873367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osvědčení o zápisu číslo 1668</w:t>
      </w:r>
    </w:p>
    <w:p w14:paraId="75CBE8C1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2AAD3B83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2D0CCC2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Podpis: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F4C02D9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1216068B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7205AF73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F28CE61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Zpráva projednána se statutárním orgánem územního celku dne .............. 2023</w:t>
      </w:r>
    </w:p>
    <w:p w14:paraId="3B8245F7" w14:textId="77777777" w:rsidR="00BB0BB8" w:rsidRDefault="00BB0BB8">
      <w:pPr>
        <w:jc w:val="both"/>
        <w:rPr>
          <w:rFonts w:ascii="Times New Roman" w:hAnsi="Times New Roman"/>
          <w:sz w:val="23"/>
          <w:szCs w:val="23"/>
        </w:rPr>
      </w:pPr>
    </w:p>
    <w:p w14:paraId="0FC2EFB2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Zpráva předána statutárnímu orgánu územního celku dne ............... 2023</w:t>
      </w:r>
    </w:p>
    <w:p w14:paraId="447246C5" w14:textId="77777777" w:rsidR="00BB0BB8" w:rsidRDefault="00BB0BB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6F11DBDD" w14:textId="77777777" w:rsidR="00BB0BB8" w:rsidRDefault="00BB0BB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1B2CA77F" w14:textId="77777777" w:rsidR="00BB0BB8" w:rsidRDefault="00BB0BB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1B227081" w14:textId="77777777" w:rsidR="00BB0BB8" w:rsidRDefault="00BB0BB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1342D5A4" w14:textId="77777777" w:rsidR="00BB0BB8" w:rsidRDefault="00BB0BB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060AA0B7" w14:textId="77777777" w:rsidR="00BB0BB8" w:rsidRDefault="00BB0BB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60C43F6E" w14:textId="77777777" w:rsidR="00BB0BB8" w:rsidRDefault="00BB0BB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63C24C94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……………………………….</w:t>
      </w:r>
    </w:p>
    <w:p w14:paraId="3000C001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Mgr. Ing. Dagmar </w:t>
      </w:r>
      <w:proofErr w:type="spellStart"/>
      <w:r>
        <w:rPr>
          <w:rFonts w:ascii="Times New Roman" w:hAnsi="Times New Roman"/>
          <w:sz w:val="22"/>
          <w:szCs w:val="22"/>
        </w:rPr>
        <w:t>Christophová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Jaroslav Volenec, starosta</w:t>
      </w:r>
    </w:p>
    <w:p w14:paraId="27D2B1F8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auditor, osvědčení o zápisu číslo 1668</w:t>
      </w:r>
    </w:p>
    <w:p w14:paraId="59023522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44BD427A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2BAC1617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03D84D0C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1C106CED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3D2F6FFA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FE7A648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54E2F78A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223F4BBE" w14:textId="77777777" w:rsidR="00BB0BB8" w:rsidRDefault="00BB0BB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1496CFF" w14:textId="77777777" w:rsidR="00F83DAB" w:rsidRDefault="00F83DAB">
      <w:pPr>
        <w:widowControl/>
        <w:spacing w:after="200" w:line="276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28E75C96" w14:textId="77777777" w:rsidR="00BB0BB8" w:rsidRDefault="00F83D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>Přílohy zprávy o výsledku přezkoumání hospodaření:</w:t>
      </w:r>
    </w:p>
    <w:p w14:paraId="4ED7BA56" w14:textId="77777777" w:rsidR="00BB0BB8" w:rsidRDefault="00BB0BB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451458E6" w14:textId="77777777" w:rsidR="00BB0BB8" w:rsidRDefault="00F83DAB">
      <w:pPr>
        <w:spacing w:after="240"/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A</w:t>
      </w:r>
      <w:r>
        <w:rPr>
          <w:rFonts w:ascii="Times New Roman" w:hAnsi="Times New Roman"/>
          <w:sz w:val="22"/>
          <w:szCs w:val="22"/>
        </w:rPr>
        <w:tab/>
        <w:t>Přehled právních předpisů, jejichž soulad s přezkoumávaným hospodařením auditor ověřil</w:t>
      </w:r>
    </w:p>
    <w:p w14:paraId="38A3395C" w14:textId="77777777" w:rsidR="00BB0BB8" w:rsidRDefault="00BB0BB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8DC5509" w14:textId="77777777" w:rsidR="00BB0BB8" w:rsidRDefault="00F83DAB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C</w:t>
      </w:r>
      <w:r>
        <w:rPr>
          <w:rFonts w:ascii="Times New Roman" w:hAnsi="Times New Roman"/>
          <w:sz w:val="22"/>
          <w:szCs w:val="22"/>
        </w:rPr>
        <w:tab/>
        <w:t>Stanovisko statutárního orgánu Obce Librantice dle požadavku ustanovení § 7 písm. c) zákona č. 420/2004 Sb.</w:t>
      </w:r>
    </w:p>
    <w:p w14:paraId="67B73992" w14:textId="77777777" w:rsidR="00BB0BB8" w:rsidRDefault="00BB0BB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7B28872D" w14:textId="77777777" w:rsidR="00BB0BB8" w:rsidRDefault="00F83DAB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D</w:t>
      </w:r>
      <w:r>
        <w:rPr>
          <w:rFonts w:ascii="Times New Roman" w:hAnsi="Times New Roman"/>
          <w:sz w:val="22"/>
          <w:szCs w:val="22"/>
        </w:rPr>
        <w:tab/>
        <w:t>Označení všech dokladů a jiných materiálů využitých při přezkoumání hospodaření</w:t>
      </w:r>
    </w:p>
    <w:p w14:paraId="5CD6D430" w14:textId="77777777" w:rsidR="00BB0BB8" w:rsidRDefault="00BB0BB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3897259B" w14:textId="77777777" w:rsidR="00BB0BB8" w:rsidRDefault="00F83DAB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E</w:t>
      </w:r>
      <w:r>
        <w:rPr>
          <w:rFonts w:ascii="Times New Roman" w:hAnsi="Times New Roman"/>
          <w:sz w:val="22"/>
          <w:szCs w:val="22"/>
        </w:rPr>
        <w:tab/>
        <w:t>Dopis starostovi obce</w:t>
      </w:r>
    </w:p>
    <w:p w14:paraId="198A81EE" w14:textId="77777777" w:rsidR="00BB0BB8" w:rsidRDefault="00BB0BB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71A73A09" w14:textId="77777777" w:rsidR="00BB0BB8" w:rsidRDefault="00F83DAB">
      <w:pPr>
        <w:widowControl/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76A5C6A" w14:textId="77777777" w:rsidR="00BB0BB8" w:rsidRDefault="00F83DAB">
      <w:pPr>
        <w:ind w:left="1410" w:hanging="141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Příloha A</w:t>
      </w:r>
    </w:p>
    <w:p w14:paraId="06680CC7" w14:textId="77777777" w:rsidR="00BB0BB8" w:rsidRDefault="00F83DA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Přehled právních předpisů, s nimiž auditor u přezkoumávaného hospodaření ověří soulad</w:t>
      </w:r>
    </w:p>
    <w:p w14:paraId="60BEDF98" w14:textId="77777777" w:rsidR="00BB0BB8" w:rsidRDefault="00BB0BB8">
      <w:pPr>
        <w:rPr>
          <w:rFonts w:ascii="Times New Roman" w:hAnsi="Times New Roman"/>
          <w:sz w:val="22"/>
          <w:szCs w:val="22"/>
        </w:rPr>
      </w:pPr>
    </w:p>
    <w:p w14:paraId="1594B7FE" w14:textId="77777777" w:rsidR="00BB0BB8" w:rsidRDefault="00F83DA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Při provádění přezkoumání hospodaření auditor posuzuje soulad hospodaření nejméně s následujícími právními předpisy, popř. jejich vybranými ustanoveními:</w:t>
      </w:r>
    </w:p>
    <w:p w14:paraId="056342B9" w14:textId="77777777" w:rsidR="00BB0BB8" w:rsidRDefault="00BB0BB8">
      <w:pPr>
        <w:jc w:val="both"/>
        <w:rPr>
          <w:rFonts w:ascii="Times New Roman" w:hAnsi="Times New Roman"/>
          <w:sz w:val="22"/>
          <w:szCs w:val="22"/>
        </w:rPr>
      </w:pPr>
    </w:p>
    <w:p w14:paraId="4C037691" w14:textId="77777777" w:rsidR="00BB0BB8" w:rsidRDefault="00F83DAB">
      <w:pPr>
        <w:pStyle w:val="Odstavecseseznamem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Zákonem č. 420/2004 Sb., o přezkoumávání hospodaření územních samosprávných celků a dobrovolných svazků obcí, ve znění pozdějších předpisů,</w:t>
      </w:r>
    </w:p>
    <w:p w14:paraId="3BE87DD4" w14:textId="77777777" w:rsidR="00BB0BB8" w:rsidRDefault="00F83DAB">
      <w:pPr>
        <w:pStyle w:val="Odstavecseseznamem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Vyhláškou č. 5/2014 Sb., o způsobu, termínech a rozsahu údajů předkládaných pro hodnocení plnění státního rozpočtu, rozpočtu státních fondů, rozpočtů územních samosprávných celků, rozpočtů dobrovolných svazků obcí a rozpočtu Regionálních rad regionů soudržnosti, ve znění pozdějších předpisů, která provádí některá ustanovení zákona č. 218/2000 Sb., o rozpočtových pravidlech a o změně některých souvisejících zákonů (rozpočtová pravidla), ve znění pozdějších předpisů,</w:t>
      </w:r>
    </w:p>
    <w:p w14:paraId="61301018" w14:textId="77777777" w:rsidR="00BB0BB8" w:rsidRDefault="00F83DAB">
      <w:pPr>
        <w:pStyle w:val="Odstavecseseznamem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Zákonem č. 23/2017 Sb., o pravidlech rozpočtové odpovědnosti, </w:t>
      </w:r>
    </w:p>
    <w:p w14:paraId="0BE66002" w14:textId="77777777" w:rsidR="00BB0BB8" w:rsidRDefault="00F83DAB">
      <w:pPr>
        <w:pStyle w:val="Odstavecseseznamem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Zákonem č. 89/2012 Sb., občanský zákoník</w:t>
      </w:r>
    </w:p>
    <w:p w14:paraId="1FFDE6CC" w14:textId="77777777" w:rsidR="00BB0BB8" w:rsidRDefault="00F83DA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Zákonem č. 250/2000 Sb., o rozpočtových pravidlech územních rozpočtů, ve znění pozdějších předpisů, a souvisejícími prováděcími právními předpisy:</w:t>
      </w:r>
    </w:p>
    <w:p w14:paraId="6A8BF12E" w14:textId="77777777" w:rsidR="00BB0BB8" w:rsidRDefault="00F83DAB">
      <w:pPr>
        <w:pStyle w:val="Odstavecseseznamem"/>
        <w:numPr>
          <w:ilvl w:val="1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Vyhláškou č. 323/2002 Sb., o rozpočtové skladbě, ve znění pozdějších předpisů,</w:t>
      </w:r>
    </w:p>
    <w:p w14:paraId="15B06015" w14:textId="77777777" w:rsidR="00BB0BB8" w:rsidRDefault="00F83DA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Zákonem č. 563/1991 Sb., o účetnictví, ve znění pozdějších předpisů, a souvisejícími prováděcími právními předpisy:</w:t>
      </w:r>
    </w:p>
    <w:p w14:paraId="2A62CE76" w14:textId="77777777" w:rsidR="00BB0BB8" w:rsidRDefault="00F83DAB">
      <w:pPr>
        <w:pStyle w:val="Odstavecseseznamem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Vyhláškou č. 410/2009 Sb., kterou se provádějí některá ustanovení zákona </w:t>
      </w:r>
      <w:r>
        <w:rPr>
          <w:rFonts w:ascii="Times New Roman" w:hAnsi="Times New Roman"/>
          <w:sz w:val="22"/>
          <w:szCs w:val="22"/>
        </w:rPr>
        <w:br/>
        <w:t>č. 563/1991 Sb., o účetnictví, ve znění pozdějších předpisů, pro některé vybrané účetní jednotky,</w:t>
      </w:r>
    </w:p>
    <w:p w14:paraId="2B974DA0" w14:textId="77777777" w:rsidR="00BB0BB8" w:rsidRDefault="00F83DAB">
      <w:pPr>
        <w:pStyle w:val="Odstavecseseznamem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Vyhláškou č. 383/2009 Sb., o účetních záznamech v technické formě vybraných účetních jednotek a jejich předávání do centrálního systému účetních informací státu a o požadavcích na technické a smíšené formy účetních záznamů (technická vyhláška o účetních záznamech),</w:t>
      </w:r>
    </w:p>
    <w:p w14:paraId="6689B4E9" w14:textId="77777777" w:rsidR="00BB0BB8" w:rsidRDefault="00F83DAB">
      <w:pPr>
        <w:pStyle w:val="Odstavecseseznamem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Vyhláškou č. 270/2010 Sb., o inventarizaci majetku a závazků,</w:t>
      </w:r>
    </w:p>
    <w:p w14:paraId="4BEE3AEA" w14:textId="77777777" w:rsidR="00BB0BB8" w:rsidRDefault="00F83DAB">
      <w:pPr>
        <w:pStyle w:val="Odstavecseseznamem"/>
        <w:numPr>
          <w:ilvl w:val="1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Českými účetními standardy pro některé vybrané účetní jednotky, které vedou účetnictví podle vyhlášky č. 410/2009 Sb.,</w:t>
      </w:r>
    </w:p>
    <w:p w14:paraId="0D570EE8" w14:textId="77777777" w:rsidR="00BB0BB8" w:rsidRDefault="00F83DAB">
      <w:pPr>
        <w:pStyle w:val="Odstavecseseznamem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Zákonem č. 128/2000 Sb., o obcích, ve znění pozdějších předpisů, </w:t>
      </w:r>
    </w:p>
    <w:p w14:paraId="5FE3A356" w14:textId="77777777" w:rsidR="00BB0BB8" w:rsidRDefault="00F83DAB">
      <w:pPr>
        <w:pStyle w:val="Odstavecseseznamem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Zákonem č. 134/2016 Sb., o veřejných zakázkách, ve znění pozdějších předpisů</w:t>
      </w:r>
    </w:p>
    <w:p w14:paraId="3AFDF7E7" w14:textId="77777777" w:rsidR="00BB0BB8" w:rsidRDefault="00F83DAB">
      <w:pPr>
        <w:pStyle w:val="Odstavecseseznamem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Zákonem č. 243/2000 Sb., o rozpočtovém určení výnosů některých daní územním samosprávným celkům a některým státním fondům (zákon o rozpočtovém určení daní), ve znění pozdějších předpisů,</w:t>
      </w:r>
    </w:p>
    <w:p w14:paraId="3C1C34B5" w14:textId="77777777" w:rsidR="00BB0BB8" w:rsidRDefault="00F83DAB">
      <w:pPr>
        <w:pStyle w:val="Odstavecseseznamem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Zákonem č. 320/2001 Sb., o finanční kontrole ve veřejné správě a o změně některých zákonů,</w:t>
      </w:r>
    </w:p>
    <w:p w14:paraId="211ECACA" w14:textId="77777777" w:rsidR="00BB0BB8" w:rsidRDefault="00F83DA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Nařízením vlády č. 341/2017 Sb., o platových poměrech zaměstnanců ve veřejných službách a správě, </w:t>
      </w:r>
    </w:p>
    <w:p w14:paraId="3556625A" w14:textId="77777777" w:rsidR="00BB0BB8" w:rsidRDefault="00BB0BB8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E07EEA9" w14:textId="77777777" w:rsidR="00BB0BB8" w:rsidRDefault="00F83DA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Nařízením vlády č. 338/2019 Sb., o odměnách za výkon funkce členům zastupitelstev. </w:t>
      </w:r>
    </w:p>
    <w:p w14:paraId="215BACAD" w14:textId="77777777" w:rsidR="00BB0BB8" w:rsidRDefault="00BB0BB8">
      <w:pPr>
        <w:rPr>
          <w:rFonts w:ascii="Times New Roman" w:hAnsi="Times New Roman"/>
          <w:sz w:val="22"/>
          <w:szCs w:val="22"/>
        </w:rPr>
      </w:pPr>
    </w:p>
    <w:p w14:paraId="54FC362C" w14:textId="77777777" w:rsidR="00BB0BB8" w:rsidRDefault="00BB0BB8">
      <w:pPr>
        <w:rPr>
          <w:rFonts w:ascii="Times New Roman" w:hAnsi="Times New Roman"/>
          <w:sz w:val="22"/>
          <w:szCs w:val="22"/>
        </w:rPr>
      </w:pPr>
    </w:p>
    <w:sectPr w:rsidR="00BB0BB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78DB" w14:textId="77777777" w:rsidR="004A53A6" w:rsidRDefault="004A53A6">
      <w:r>
        <w:separator/>
      </w:r>
    </w:p>
  </w:endnote>
  <w:endnote w:type="continuationSeparator" w:id="0">
    <w:p w14:paraId="2C01C9D7" w14:textId="77777777" w:rsidR="004A53A6" w:rsidRDefault="004A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1195" w14:textId="77777777" w:rsidR="00BB0BB8" w:rsidRDefault="00F83DAB">
    <w:pPr>
      <w:pStyle w:val="Style6"/>
      <w:widowControl/>
      <w:ind w:left="4637"/>
      <w:rPr>
        <w:rStyle w:val="FontStyle43"/>
        <w:sz w:val="13"/>
        <w:szCs w:val="13"/>
      </w:rPr>
    </w:pPr>
    <w:r>
      <w:rPr>
        <w:rStyle w:val="FontStyle43"/>
        <w:sz w:val="13"/>
        <w:szCs w:val="13"/>
      </w:rPr>
      <w:t xml:space="preserve">- </w:t>
    </w:r>
    <w:r>
      <w:rPr>
        <w:rStyle w:val="FontStyle43"/>
        <w:sz w:val="13"/>
        <w:szCs w:val="13"/>
      </w:rPr>
      <w:fldChar w:fldCharType="begin"/>
    </w:r>
    <w:r>
      <w:rPr>
        <w:rStyle w:val="FontStyle43"/>
        <w:sz w:val="13"/>
        <w:szCs w:val="13"/>
      </w:rPr>
      <w:instrText>PAGE</w:instrText>
    </w:r>
    <w:r>
      <w:rPr>
        <w:rStyle w:val="FontStyle43"/>
        <w:sz w:val="13"/>
        <w:szCs w:val="13"/>
      </w:rPr>
      <w:fldChar w:fldCharType="separate"/>
    </w:r>
    <w:r>
      <w:rPr>
        <w:rStyle w:val="FontStyle43"/>
        <w:sz w:val="13"/>
        <w:szCs w:val="13"/>
      </w:rPr>
      <w:t>#</w:t>
    </w:r>
    <w:r>
      <w:rPr>
        <w:rStyle w:val="FontStyle43"/>
        <w:sz w:val="13"/>
        <w:szCs w:val="13"/>
      </w:rPr>
      <w:fldChar w:fldCharType="end"/>
    </w:r>
    <w:r>
      <w:rPr>
        <w:rStyle w:val="FontStyle43"/>
        <w:sz w:val="13"/>
        <w:szCs w:val="13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4E6A" w14:textId="77777777" w:rsidR="00BB0BB8" w:rsidRDefault="00F83DAB">
    <w:pPr>
      <w:pStyle w:val="Style6"/>
      <w:widowControl/>
      <w:ind w:left="4637"/>
      <w:rPr>
        <w:rStyle w:val="FontStyle43"/>
        <w:sz w:val="13"/>
        <w:szCs w:val="13"/>
      </w:rPr>
    </w:pPr>
    <w:r>
      <w:rPr>
        <w:rStyle w:val="FontStyle43"/>
        <w:sz w:val="13"/>
        <w:szCs w:val="13"/>
      </w:rPr>
      <w:t xml:space="preserve">- </w:t>
    </w:r>
    <w:r>
      <w:rPr>
        <w:rStyle w:val="FontStyle43"/>
        <w:sz w:val="13"/>
        <w:szCs w:val="13"/>
      </w:rPr>
      <w:fldChar w:fldCharType="begin"/>
    </w:r>
    <w:r>
      <w:rPr>
        <w:rStyle w:val="FontStyle43"/>
        <w:sz w:val="13"/>
        <w:szCs w:val="13"/>
      </w:rPr>
      <w:instrText>PAGE</w:instrText>
    </w:r>
    <w:r>
      <w:rPr>
        <w:rStyle w:val="FontStyle43"/>
        <w:sz w:val="13"/>
        <w:szCs w:val="13"/>
      </w:rPr>
      <w:fldChar w:fldCharType="separate"/>
    </w:r>
    <w:r>
      <w:rPr>
        <w:rStyle w:val="FontStyle43"/>
        <w:noProof/>
        <w:sz w:val="13"/>
        <w:szCs w:val="13"/>
      </w:rPr>
      <w:t>8</w:t>
    </w:r>
    <w:r>
      <w:rPr>
        <w:rStyle w:val="FontStyle43"/>
        <w:sz w:val="13"/>
        <w:szCs w:val="13"/>
      </w:rPr>
      <w:fldChar w:fldCharType="end"/>
    </w:r>
    <w:r>
      <w:rPr>
        <w:rStyle w:val="FontStyle43"/>
        <w:sz w:val="13"/>
        <w:szCs w:val="13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51AA" w14:textId="77777777" w:rsidR="004A53A6" w:rsidRDefault="004A53A6">
      <w:r>
        <w:separator/>
      </w:r>
    </w:p>
  </w:footnote>
  <w:footnote w:type="continuationSeparator" w:id="0">
    <w:p w14:paraId="21624966" w14:textId="77777777" w:rsidR="004A53A6" w:rsidRDefault="004A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0139" w14:textId="77777777" w:rsidR="00BB0BB8" w:rsidRDefault="00BB0BB8">
    <w:pPr>
      <w:widowControl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BACE" w14:textId="77777777" w:rsidR="00BB0BB8" w:rsidRDefault="00BB0BB8">
    <w:pPr>
      <w:widowControl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678"/>
    <w:multiLevelType w:val="hybridMultilevel"/>
    <w:tmpl w:val="0F00DB8E"/>
    <w:lvl w:ilvl="0" w:tplc="71BE1A8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660D0"/>
    <w:multiLevelType w:val="hybridMultilevel"/>
    <w:tmpl w:val="98207292"/>
    <w:lvl w:ilvl="0" w:tplc="11C6297A">
      <w:start w:val="5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725C7"/>
    <w:multiLevelType w:val="hybridMultilevel"/>
    <w:tmpl w:val="8F22A830"/>
    <w:lvl w:ilvl="0" w:tplc="05F283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3E38"/>
    <w:multiLevelType w:val="hybridMultilevel"/>
    <w:tmpl w:val="1EBC95B0"/>
    <w:lvl w:ilvl="0" w:tplc="786AF300">
      <w:start w:val="2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46A79"/>
    <w:multiLevelType w:val="hybridMultilevel"/>
    <w:tmpl w:val="2960CE20"/>
    <w:lvl w:ilvl="0" w:tplc="11C6297A">
      <w:start w:val="5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10C6C"/>
    <w:multiLevelType w:val="hybridMultilevel"/>
    <w:tmpl w:val="543E30D8"/>
    <w:lvl w:ilvl="0" w:tplc="E3641854">
      <w:start w:val="5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948E4"/>
    <w:multiLevelType w:val="hybridMultilevel"/>
    <w:tmpl w:val="7BD660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B1D6A"/>
    <w:multiLevelType w:val="hybridMultilevel"/>
    <w:tmpl w:val="C784C88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924D51"/>
    <w:multiLevelType w:val="hybridMultilevel"/>
    <w:tmpl w:val="CBD43E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E1494"/>
    <w:multiLevelType w:val="hybridMultilevel"/>
    <w:tmpl w:val="66B24D8A"/>
    <w:lvl w:ilvl="0" w:tplc="06C890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3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68CB"/>
    <w:multiLevelType w:val="multilevel"/>
    <w:tmpl w:val="4BC88BE8"/>
    <w:lvl w:ilvl="0">
      <w:start w:val="5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1" w15:restartNumberingAfterBreak="0">
    <w:nsid w:val="642532B4"/>
    <w:multiLevelType w:val="hybridMultilevel"/>
    <w:tmpl w:val="B0703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3F20"/>
    <w:multiLevelType w:val="hybridMultilevel"/>
    <w:tmpl w:val="F31881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0357C"/>
    <w:multiLevelType w:val="hybridMultilevel"/>
    <w:tmpl w:val="F65812E2"/>
    <w:lvl w:ilvl="0" w:tplc="0405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5874B0A8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aps/>
      </w:r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06931A2"/>
    <w:multiLevelType w:val="multilevel"/>
    <w:tmpl w:val="A43885A4"/>
    <w:lvl w:ilvl="0">
      <w:start w:val="5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5" w15:restartNumberingAfterBreak="0">
    <w:nsid w:val="74CB6472"/>
    <w:multiLevelType w:val="hybridMultilevel"/>
    <w:tmpl w:val="65642E1C"/>
    <w:lvl w:ilvl="0" w:tplc="C7C44A7C">
      <w:start w:val="34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9E4BCA"/>
    <w:multiLevelType w:val="hybridMultilevel"/>
    <w:tmpl w:val="4CDE4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05777"/>
    <w:multiLevelType w:val="hybridMultilevel"/>
    <w:tmpl w:val="2A8C8B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3A4373"/>
    <w:multiLevelType w:val="hybridMultilevel"/>
    <w:tmpl w:val="19344F7E"/>
    <w:lvl w:ilvl="0" w:tplc="E4FEAB84">
      <w:start w:val="1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B6621"/>
    <w:multiLevelType w:val="hybridMultilevel"/>
    <w:tmpl w:val="C874C224"/>
    <w:lvl w:ilvl="0" w:tplc="0A0E3E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E3244"/>
    <w:multiLevelType w:val="hybridMultilevel"/>
    <w:tmpl w:val="410E128A"/>
    <w:lvl w:ilvl="0" w:tplc="E3641854">
      <w:start w:val="5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94615">
    <w:abstractNumId w:val="13"/>
  </w:num>
  <w:num w:numId="2" w16cid:durableId="564608682">
    <w:abstractNumId w:val="17"/>
  </w:num>
  <w:num w:numId="3" w16cid:durableId="409548014">
    <w:abstractNumId w:val="12"/>
  </w:num>
  <w:num w:numId="4" w16cid:durableId="1991594950">
    <w:abstractNumId w:val="6"/>
  </w:num>
  <w:num w:numId="5" w16cid:durableId="814032497">
    <w:abstractNumId w:val="8"/>
  </w:num>
  <w:num w:numId="6" w16cid:durableId="1635404734">
    <w:abstractNumId w:val="11"/>
  </w:num>
  <w:num w:numId="7" w16cid:durableId="458841221">
    <w:abstractNumId w:val="15"/>
  </w:num>
  <w:num w:numId="8" w16cid:durableId="887843477">
    <w:abstractNumId w:val="9"/>
  </w:num>
  <w:num w:numId="9" w16cid:durableId="1924558591">
    <w:abstractNumId w:val="2"/>
  </w:num>
  <w:num w:numId="10" w16cid:durableId="421605725">
    <w:abstractNumId w:val="19"/>
  </w:num>
  <w:num w:numId="11" w16cid:durableId="2127234836">
    <w:abstractNumId w:val="0"/>
  </w:num>
  <w:num w:numId="12" w16cid:durableId="1249342900">
    <w:abstractNumId w:val="1"/>
  </w:num>
  <w:num w:numId="13" w16cid:durableId="339358959">
    <w:abstractNumId w:val="4"/>
  </w:num>
  <w:num w:numId="14" w16cid:durableId="163906046">
    <w:abstractNumId w:val="20"/>
  </w:num>
  <w:num w:numId="15" w16cid:durableId="2138840337">
    <w:abstractNumId w:val="7"/>
  </w:num>
  <w:num w:numId="16" w16cid:durableId="2046251655">
    <w:abstractNumId w:val="5"/>
  </w:num>
  <w:num w:numId="17" w16cid:durableId="1532691650">
    <w:abstractNumId w:val="16"/>
  </w:num>
  <w:num w:numId="18" w16cid:durableId="775516308">
    <w:abstractNumId w:val="3"/>
  </w:num>
  <w:num w:numId="19" w16cid:durableId="579605612">
    <w:abstractNumId w:val="18"/>
  </w:num>
  <w:num w:numId="20" w16cid:durableId="2080252332">
    <w:abstractNumId w:val="14"/>
  </w:num>
  <w:num w:numId="21" w16cid:durableId="328099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B8"/>
    <w:rsid w:val="004A53A6"/>
    <w:rsid w:val="00555648"/>
    <w:rsid w:val="00BB0BB8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FE11"/>
  <w15:docId w15:val="{8ABADC18-DD3B-49E3-8420-2E12F7DE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pPr>
      <w:spacing w:after="0" w:line="240" w:lineRule="auto"/>
    </w:pPr>
    <w:rPr>
      <w:rFonts w:ascii="Times New Roman" w:hAnsi="Times New Roman"/>
    </w:rPr>
  </w:style>
  <w:style w:type="paragraph" w:customStyle="1" w:styleId="Style6">
    <w:name w:val="Style6"/>
    <w:basedOn w:val="Normln"/>
  </w:style>
  <w:style w:type="paragraph" w:styleId="Odstavecseseznamem">
    <w:name w:val="List Paragraph"/>
    <w:basedOn w:val="Normln"/>
    <w:qFormat/>
    <w:pPr>
      <w:ind w:left="708"/>
    </w:p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widowControl/>
    </w:pPr>
    <w:rPr>
      <w:rFonts w:ascii="Times New Roman" w:hAnsi="Times New Roman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spacing w:after="12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link w:val="TextpoznpodarouChar"/>
    <w:semiHidden/>
    <w:pPr>
      <w:spacing w:after="0" w:line="240" w:lineRule="auto"/>
    </w:pPr>
    <w:rPr>
      <w:sz w:val="20"/>
      <w:szCs w:val="20"/>
    </w:rPr>
  </w:style>
  <w:style w:type="paragraph" w:styleId="Textvysvtlivek">
    <w:name w:val="endnote text"/>
    <w:link w:val="TextvysvtlivekChar"/>
    <w:semiHidden/>
    <w:pPr>
      <w:spacing w:after="0" w:line="240" w:lineRule="auto"/>
    </w:pPr>
    <w:rPr>
      <w:sz w:val="20"/>
      <w:szCs w:val="20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ontStyle43">
    <w:name w:val="Font Style43"/>
    <w:rPr>
      <w:rFonts w:ascii="Book Antiqua" w:hAnsi="Book Antiqua" w:cs="Book Antiqua"/>
      <w:sz w:val="14"/>
      <w:szCs w:val="14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rPr>
      <w:rFonts w:ascii="Book Antiqua" w:eastAsia="Times New Roman" w:hAnsi="Book Antiqua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Book Antiqua" w:eastAsia="Times New Roman" w:hAnsi="Book Antiqua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Pr>
      <w:rFonts w:ascii="Book Antiqua" w:eastAsia="Times New Roman" w:hAnsi="Book Antiqu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Pr>
      <w:rFonts w:ascii="Book Antiqua" w:eastAsia="Times New Roman" w:hAnsi="Book Antiqua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Book Antiqua" w:eastAsia="Times New Roman" w:hAnsi="Book Antiqua" w:cs="Times New Roman"/>
      <w:sz w:val="24"/>
      <w:szCs w:val="24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TextpoznpodarouChar">
    <w:name w:val="Text pozn. pod čarou Char"/>
    <w:link w:val="Textpoznpodarou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TextvysvtlivekChar">
    <w:name w:val="Text vysvětlivek Char"/>
    <w:link w:val="Textvysvtlivek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2197</Words>
  <Characters>12965</Characters>
  <Application>Microsoft Office Word</Application>
  <DocSecurity>0</DocSecurity>
  <Lines>108</Lines>
  <Paragraphs>30</Paragraphs>
  <ScaleCrop>false</ScaleCrop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Bukovska</dc:creator>
  <cp:lastModifiedBy>Alena Hladíková</cp:lastModifiedBy>
  <cp:revision>2</cp:revision>
  <cp:lastPrinted>2022-06-01T06:10:00Z</cp:lastPrinted>
  <dcterms:created xsi:type="dcterms:W3CDTF">2023-05-30T15:11:00Z</dcterms:created>
  <dcterms:modified xsi:type="dcterms:W3CDTF">2023-05-30T15:11:00Z</dcterms:modified>
</cp:coreProperties>
</file>